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0E6E6F" w:rsidP="000E6E6F">
      <w:pPr>
        <w:pStyle w:val="berschrift1"/>
        <w:numPr>
          <w:ilvl w:val="0"/>
          <w:numId w:val="0"/>
        </w:numPr>
        <w:spacing w:before="0"/>
        <w:ind w:left="1021" w:hanging="1021"/>
        <w:rPr>
          <w:rFonts w:ascii="Arial" w:hAnsi="Arial"/>
          <w:sz w:val="40"/>
        </w:rPr>
      </w:pPr>
      <w:r>
        <w:t xml:space="preserve">L1 2.  </w:t>
      </w:r>
      <w:r w:rsidR="00566FBE">
        <w:t>Netzwerke – Grundbegriffe</w:t>
      </w:r>
    </w:p>
    <w:p w:rsidR="00B741EC" w:rsidRDefault="000E6E6F" w:rsidP="000E6E6F">
      <w:pPr>
        <w:pStyle w:val="berschrift2"/>
        <w:numPr>
          <w:ilvl w:val="0"/>
          <w:numId w:val="0"/>
        </w:numPr>
        <w:ind w:left="709" w:hanging="709"/>
      </w:pPr>
      <w:r>
        <w:t>2.1</w:t>
      </w:r>
      <w:r>
        <w:tab/>
      </w:r>
      <w:r w:rsidR="005D1540" w:rsidRPr="00B54435">
        <w:t>Netzwerke</w:t>
      </w:r>
      <w:r w:rsidR="005D1540">
        <w:t xml:space="preserve"> in unserer Gesellschaft</w:t>
      </w:r>
    </w:p>
    <w:p w:rsidR="003A299F" w:rsidRDefault="00A7385A" w:rsidP="00A7385A">
      <w:r>
        <w:t>Nennen Sie Beispiele für Netzwerke in unserer Gesellschaft</w:t>
      </w:r>
      <w:r w:rsidR="005D1540">
        <w:t xml:space="preserve">. Denken Sie dabei auch an andere </w:t>
      </w:r>
      <w:r w:rsidR="00BF4FF6">
        <w:t xml:space="preserve">zu transportierende </w:t>
      </w:r>
      <w:r w:rsidR="005D1540">
        <w:t>Dinge</w:t>
      </w:r>
      <w:r w:rsidR="00BF4FF6">
        <w:t xml:space="preserve"> als</w:t>
      </w:r>
      <w:r w:rsidR="005D1540">
        <w:t xml:space="preserve"> Nachrichten bzw. Informationen.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1540" w:rsidTr="005D1540">
        <w:tc>
          <w:tcPr>
            <w:tcW w:w="9062" w:type="dxa"/>
          </w:tcPr>
          <w:p w:rsidR="005D1540" w:rsidRDefault="003632D6" w:rsidP="0014435A">
            <w:pPr>
              <w:pStyle w:val="LSUNG"/>
            </w:pPr>
            <w:r>
              <w:t>Bahnnetz, Verkehrsnetz, Post, Transportnetz für Container, Internet</w:t>
            </w:r>
            <w:r w:rsidR="00BF4FF6">
              <w:t>, Social Media</w:t>
            </w:r>
            <w:r w:rsidR="006D3722">
              <w:t xml:space="preserve"> (Facebook, Instergram, Twitter, WhatsApp…)</w:t>
            </w:r>
          </w:p>
          <w:p w:rsidR="009158D6" w:rsidRDefault="009158D6" w:rsidP="0014435A">
            <w:pPr>
              <w:pStyle w:val="LSUNG"/>
            </w:pPr>
          </w:p>
          <w:p w:rsidR="009158D6" w:rsidRDefault="009158D6" w:rsidP="0014435A">
            <w:pPr>
              <w:pStyle w:val="LSUNG"/>
            </w:pPr>
          </w:p>
          <w:p w:rsidR="009158D6" w:rsidRDefault="009158D6" w:rsidP="0014435A">
            <w:pPr>
              <w:pStyle w:val="LSUNG"/>
            </w:pPr>
          </w:p>
          <w:p w:rsidR="000627B4" w:rsidRDefault="000627B4" w:rsidP="0014435A">
            <w:pPr>
              <w:pStyle w:val="LSUNG"/>
            </w:pPr>
          </w:p>
          <w:p w:rsidR="000627B4" w:rsidRDefault="000627B4" w:rsidP="0014435A">
            <w:pPr>
              <w:pStyle w:val="LSUNG"/>
            </w:pPr>
          </w:p>
          <w:p w:rsidR="000627B4" w:rsidRDefault="000627B4" w:rsidP="0014435A">
            <w:pPr>
              <w:pStyle w:val="LSUNG"/>
            </w:pPr>
          </w:p>
          <w:p w:rsidR="002C3B82" w:rsidRDefault="002C3B82" w:rsidP="003632D6">
            <w:pPr>
              <w:pStyle w:val="LSUNG"/>
            </w:pPr>
          </w:p>
          <w:p w:rsidR="003632D6" w:rsidRDefault="003632D6" w:rsidP="003632D6">
            <w:pPr>
              <w:pStyle w:val="LSUNG"/>
            </w:pPr>
          </w:p>
          <w:p w:rsidR="003632D6" w:rsidRDefault="003632D6" w:rsidP="003632D6">
            <w:pPr>
              <w:pStyle w:val="LSUNG"/>
            </w:pPr>
          </w:p>
        </w:tc>
      </w:tr>
    </w:tbl>
    <w:p w:rsidR="000E6E6F" w:rsidRDefault="000E6E6F" w:rsidP="000E6E6F">
      <w:pPr>
        <w:pStyle w:val="berschrift3"/>
        <w:numPr>
          <w:ilvl w:val="2"/>
          <w:numId w:val="20"/>
        </w:numPr>
        <w:spacing w:before="360"/>
      </w:pPr>
      <w:bookmarkStart w:id="0" w:name="_Hlk495823081"/>
      <w:r w:rsidRPr="003A299F">
        <w:t>Vorbereitungen</w:t>
      </w:r>
      <w:r w:rsidRPr="00022991">
        <w:t xml:space="preserve"> </w:t>
      </w:r>
    </w:p>
    <w:p w:rsidR="000E6E6F" w:rsidRDefault="000E6E6F" w:rsidP="000E6E6F">
      <w:pPr>
        <w:pStyle w:val="Listenabsatz"/>
        <w:numPr>
          <w:ilvl w:val="0"/>
          <w:numId w:val="12"/>
        </w:numPr>
        <w:spacing w:before="160"/>
        <w:ind w:left="714" w:hanging="357"/>
        <w:contextualSpacing w:val="0"/>
      </w:pPr>
      <w:r>
        <w:t xml:space="preserve">Nehmen Sie bitte folgende Sitzordnung ein. </w:t>
      </w:r>
    </w:p>
    <w:p w:rsidR="000E6E6F" w:rsidRDefault="000E6E6F" w:rsidP="000E6E6F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Jeder Schüler merkt sich sein Kürzel.</w:t>
      </w:r>
      <w:r w:rsidRPr="003A299F">
        <w:t xml:space="preserve"> </w:t>
      </w:r>
    </w:p>
    <w:p w:rsidR="000E6E6F" w:rsidRDefault="000E6E6F" w:rsidP="000E6E6F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 xml:space="preserve">Sollten weniger Schüler anwesend sein, dann werden die Plätze von hinten (ab D4) nach vorne freigelassen. </w:t>
      </w:r>
    </w:p>
    <w:p w:rsidR="000E6E6F" w:rsidRDefault="000E6E6F" w:rsidP="000E6E6F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Sollten mehr Schüler anwesend sein, dann sind jene „Beobachter“.</w:t>
      </w:r>
    </w:p>
    <w:p w:rsidR="001F53E7" w:rsidRDefault="001F53E7" w:rsidP="001F53E7">
      <w:pPr>
        <w:pStyle w:val="Listenabsatz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53E7" w:rsidTr="000357D4">
        <w:tc>
          <w:tcPr>
            <w:tcW w:w="9062" w:type="dxa"/>
            <w:gridSpan w:val="4"/>
            <w:tcBorders>
              <w:bottom w:val="nil"/>
            </w:tcBorders>
          </w:tcPr>
          <w:p w:rsidR="001F53E7" w:rsidRPr="00B741EC" w:rsidRDefault="001F53E7" w:rsidP="000357D4">
            <w:pPr>
              <w:spacing w:before="120"/>
              <w:jc w:val="center"/>
              <w:rPr>
                <w:b/>
              </w:rPr>
            </w:pPr>
            <w:r w:rsidRPr="00B741EC">
              <w:rPr>
                <w:b/>
              </w:rPr>
              <w:t>Lehrer</w:t>
            </w:r>
          </w:p>
        </w:tc>
      </w:tr>
      <w:tr w:rsidR="001F53E7" w:rsidTr="000357D4">
        <w:tc>
          <w:tcPr>
            <w:tcW w:w="9062" w:type="dxa"/>
            <w:gridSpan w:val="4"/>
            <w:tcBorders>
              <w:top w:val="nil"/>
            </w:tcBorders>
          </w:tcPr>
          <w:p w:rsidR="001F53E7" w:rsidRPr="00B741EC" w:rsidRDefault="001F53E7" w:rsidP="000357D4">
            <w:pPr>
              <w:spacing w:after="0"/>
              <w:rPr>
                <w:b/>
              </w:rPr>
            </w:pPr>
            <w:r>
              <w:rPr>
                <w:b/>
              </w:rPr>
              <w:t>Schüler: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A4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B4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C4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D4</w:t>
            </w:r>
          </w:p>
        </w:tc>
      </w:tr>
      <w:bookmarkEnd w:id="0"/>
    </w:tbl>
    <w:p w:rsidR="00B76532" w:rsidRDefault="00B76532" w:rsidP="00B76532">
      <w:pPr>
        <w:rPr>
          <w:rFonts w:ascii="Arial" w:hAnsi="Arial"/>
          <w:sz w:val="28"/>
        </w:rPr>
      </w:pPr>
      <w:r>
        <w:br w:type="page"/>
      </w:r>
    </w:p>
    <w:p w:rsidR="000E6E6F" w:rsidRDefault="000E6E6F" w:rsidP="000E6E6F">
      <w:pPr>
        <w:pStyle w:val="berschrift3"/>
        <w:numPr>
          <w:ilvl w:val="0"/>
          <w:numId w:val="0"/>
        </w:numPr>
        <w:ind w:left="709" w:hanging="709"/>
      </w:pPr>
      <w:r>
        <w:lastRenderedPageBreak/>
        <w:t>2.2.2</w:t>
      </w:r>
      <w:r>
        <w:tab/>
        <w:t>Bestandteile eines Netzwerkes</w:t>
      </w:r>
    </w:p>
    <w:p w:rsidR="005D1540" w:rsidRDefault="005D1540" w:rsidP="000E6E6F">
      <w:pPr>
        <w:pStyle w:val="berschrift3"/>
        <w:numPr>
          <w:ilvl w:val="0"/>
          <w:numId w:val="0"/>
        </w:numPr>
      </w:pPr>
      <w:bookmarkStart w:id="1" w:name="_GoBack"/>
      <w:bookmarkEnd w:id="1"/>
    </w:p>
    <w:p w:rsidR="005D1540" w:rsidRDefault="005D1540" w:rsidP="005D1540">
      <w:r>
        <w:t xml:space="preserve">Mit </w:t>
      </w:r>
      <w:r w:rsidR="00B76532">
        <w:t>den einzelnen Situationen des</w:t>
      </w:r>
      <w:r>
        <w:t xml:space="preserve"> Rollenspiel</w:t>
      </w:r>
      <w:r w:rsidR="00B76532">
        <w:t>s werden Begriffe</w:t>
      </w:r>
      <w:r>
        <w:t xml:space="preserve"> erarbeitet, </w:t>
      </w:r>
      <w:r w:rsidR="00B76532">
        <w:t>die</w:t>
      </w:r>
      <w:r>
        <w:t xml:space="preserve"> Bestandteil</w:t>
      </w:r>
      <w:r w:rsidR="00B76532">
        <w:t>e eines</w:t>
      </w:r>
      <w:r>
        <w:t xml:space="preserve"> Netzwerkes </w:t>
      </w:r>
      <w:r w:rsidR="00B76532">
        <w:t>sind</w:t>
      </w:r>
      <w:r>
        <w:t xml:space="preserve">. Tragen Sie </w:t>
      </w:r>
      <w:r w:rsidR="00B76532">
        <w:t>die</w:t>
      </w:r>
      <w:r>
        <w:t xml:space="preserve"> Bestandteil</w:t>
      </w:r>
      <w:r w:rsidR="00B76532">
        <w:t>e</w:t>
      </w:r>
      <w:r>
        <w:t xml:space="preserve"> in die folgende Tabelle ein und ergänzen Sie die Erklärung der Notwendigkeit dieses Bestandteils.</w:t>
      </w:r>
    </w:p>
    <w:tbl>
      <w:tblPr>
        <w:tblStyle w:val="Tabellenraster"/>
        <w:tblW w:w="9080" w:type="dxa"/>
        <w:jc w:val="center"/>
        <w:tblLook w:val="04A0" w:firstRow="1" w:lastRow="0" w:firstColumn="1" w:lastColumn="0" w:noHBand="0" w:noVBand="1"/>
      </w:tblPr>
      <w:tblGrid>
        <w:gridCol w:w="498"/>
        <w:gridCol w:w="2191"/>
        <w:gridCol w:w="6391"/>
      </w:tblGrid>
      <w:tr w:rsidR="005D1540" w:rsidTr="00B76532">
        <w:trPr>
          <w:jc w:val="center"/>
        </w:trPr>
        <w:tc>
          <w:tcPr>
            <w:tcW w:w="498" w:type="dxa"/>
          </w:tcPr>
          <w:p w:rsidR="005D1540" w:rsidRDefault="003632D6" w:rsidP="003632D6">
            <w:pPr>
              <w:pStyle w:val="Tabellenberschrift"/>
            </w:pPr>
            <w:r>
              <w:t>Nr.</w:t>
            </w:r>
          </w:p>
        </w:tc>
        <w:tc>
          <w:tcPr>
            <w:tcW w:w="2191" w:type="dxa"/>
          </w:tcPr>
          <w:p w:rsidR="005D1540" w:rsidRDefault="003632D6" w:rsidP="003632D6">
            <w:pPr>
              <w:pStyle w:val="Tabellenberschrift"/>
            </w:pPr>
            <w:r>
              <w:t>Bestandteil</w:t>
            </w:r>
          </w:p>
        </w:tc>
        <w:tc>
          <w:tcPr>
            <w:tcW w:w="6391" w:type="dxa"/>
          </w:tcPr>
          <w:p w:rsidR="005D1540" w:rsidRDefault="003632D6" w:rsidP="003632D6">
            <w:pPr>
              <w:pStyle w:val="Tabellenberschrift"/>
            </w:pPr>
            <w:r>
              <w:t>Warum ist der Bestandteil notwendig?</w:t>
            </w: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Default="007C20E0" w:rsidP="00B76532">
            <w:pPr>
              <w:pStyle w:val="LSUNG"/>
            </w:pPr>
            <w:r>
              <w:t>Nachricht</w:t>
            </w:r>
            <w:r>
              <w:br/>
              <w:t>/ Transportgut</w:t>
            </w:r>
          </w:p>
        </w:tc>
        <w:tc>
          <w:tcPr>
            <w:tcW w:w="6391" w:type="dxa"/>
          </w:tcPr>
          <w:p w:rsidR="000627B4" w:rsidRDefault="007C20E0" w:rsidP="000627B4">
            <w:pPr>
              <w:pStyle w:val="LSUNG"/>
            </w:pPr>
            <w:r w:rsidRPr="00214EDB">
              <w:t xml:space="preserve">Ohne Nachricht </w:t>
            </w:r>
            <w:r>
              <w:t>kann keine Information ausgetauscht werden</w:t>
            </w:r>
            <w:r w:rsidR="00B54435">
              <w:t>.</w:t>
            </w:r>
            <w:r w:rsidR="000627B4">
              <w:t xml:space="preserve"> Ohne Ware oder Personen benötigt man keinen Transport (1.2).</w:t>
            </w:r>
          </w:p>
          <w:p w:rsidR="000627B4" w:rsidRDefault="000627B4" w:rsidP="000627B4">
            <w:pPr>
              <w:pStyle w:val="LSUNG"/>
            </w:pPr>
          </w:p>
          <w:p w:rsidR="000627B4" w:rsidRPr="00214EDB" w:rsidRDefault="000627B4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Default="007C20E0" w:rsidP="000627B4">
            <w:pPr>
              <w:pStyle w:val="LSUNG"/>
            </w:pPr>
            <w:r>
              <w:t>Empfänger</w:t>
            </w:r>
          </w:p>
        </w:tc>
        <w:tc>
          <w:tcPr>
            <w:tcW w:w="6391" w:type="dxa"/>
          </w:tcPr>
          <w:p w:rsidR="007C20E0" w:rsidRDefault="007C20E0" w:rsidP="000627B4">
            <w:pPr>
              <w:pStyle w:val="LSUNG"/>
            </w:pPr>
            <w:r w:rsidRPr="00214EDB">
              <w:t>Ohne Kenntnis des Empfängers würde die Nachricht nicht ankommen</w:t>
            </w:r>
            <w:r w:rsidR="000627B4">
              <w:t xml:space="preserve">, </w:t>
            </w:r>
            <w:r>
              <w:t>zumindest nicht bei dem r</w:t>
            </w:r>
            <w:r w:rsidRPr="00D61CA4">
              <w:t>ichtigen</w:t>
            </w:r>
            <w:r>
              <w:t xml:space="preserve"> Empfänger</w:t>
            </w:r>
            <w:r w:rsidR="000627B4">
              <w:t xml:space="preserve"> (1.3)</w:t>
            </w:r>
            <w:r>
              <w:t>.</w:t>
            </w:r>
          </w:p>
          <w:p w:rsidR="000627B4" w:rsidRDefault="000627B4" w:rsidP="000627B4">
            <w:pPr>
              <w:pStyle w:val="LSUNG"/>
            </w:pPr>
          </w:p>
          <w:p w:rsidR="002C3B82" w:rsidRPr="00214EDB" w:rsidRDefault="002C3B82" w:rsidP="000627B4">
            <w:pPr>
              <w:pStyle w:val="LSUNG"/>
            </w:pPr>
          </w:p>
        </w:tc>
      </w:tr>
      <w:tr w:rsidR="000627B4" w:rsidTr="00B76532">
        <w:trPr>
          <w:trHeight w:val="855"/>
          <w:jc w:val="center"/>
        </w:trPr>
        <w:tc>
          <w:tcPr>
            <w:tcW w:w="498" w:type="dxa"/>
            <w:vMerge w:val="restart"/>
          </w:tcPr>
          <w:p w:rsidR="000627B4" w:rsidRDefault="000627B4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  <w:vMerge w:val="restart"/>
          </w:tcPr>
          <w:p w:rsidR="000627B4" w:rsidRDefault="000627B4" w:rsidP="000627B4">
            <w:pPr>
              <w:pStyle w:val="LSUNG"/>
            </w:pPr>
            <w:r>
              <w:t xml:space="preserve">Umschlag </w:t>
            </w:r>
            <w:r>
              <w:br/>
              <w:t>/ Transportbehälter</w:t>
            </w:r>
          </w:p>
          <w:p w:rsidR="00A138B2" w:rsidRDefault="00A138B2" w:rsidP="000627B4">
            <w:pPr>
              <w:pStyle w:val="LSUNG"/>
            </w:pPr>
          </w:p>
          <w:p w:rsidR="00A138B2" w:rsidRPr="00A138B2" w:rsidRDefault="00A138B2" w:rsidP="00A138B2"/>
          <w:p w:rsidR="00A138B2" w:rsidRPr="00A138B2" w:rsidRDefault="00A138B2" w:rsidP="00A138B2"/>
          <w:p w:rsidR="00A138B2" w:rsidRPr="00A138B2" w:rsidRDefault="00A138B2" w:rsidP="00A138B2"/>
          <w:p w:rsidR="00A138B2" w:rsidRPr="00A138B2" w:rsidRDefault="00A138B2" w:rsidP="00A138B2"/>
          <w:p w:rsidR="000627B4" w:rsidRPr="00A138B2" w:rsidRDefault="000627B4" w:rsidP="00B76532"/>
        </w:tc>
        <w:tc>
          <w:tcPr>
            <w:tcW w:w="6391" w:type="dxa"/>
          </w:tcPr>
          <w:p w:rsidR="000627B4" w:rsidRDefault="000627B4" w:rsidP="00B76532">
            <w:pPr>
              <w:pStyle w:val="LSUNG"/>
            </w:pPr>
            <w:r>
              <w:t>Die Sendungen erhalten eine Standardgröße. Der Transport wird einfacher. Der Transport-  und Sichtschutz ist sekundär (1.4).</w:t>
            </w:r>
          </w:p>
          <w:p w:rsidR="00B76532" w:rsidRDefault="00B76532" w:rsidP="00B76532">
            <w:pPr>
              <w:pStyle w:val="LSUNG"/>
            </w:pPr>
          </w:p>
          <w:p w:rsidR="00B76532" w:rsidRPr="00214EDB" w:rsidRDefault="00B76532" w:rsidP="00B76532">
            <w:pPr>
              <w:pStyle w:val="LSUNG"/>
            </w:pPr>
          </w:p>
        </w:tc>
      </w:tr>
      <w:tr w:rsidR="000627B4" w:rsidTr="00B76532">
        <w:trPr>
          <w:trHeight w:val="1546"/>
          <w:jc w:val="center"/>
        </w:trPr>
        <w:tc>
          <w:tcPr>
            <w:tcW w:w="498" w:type="dxa"/>
            <w:vMerge/>
          </w:tcPr>
          <w:p w:rsidR="000627B4" w:rsidRDefault="000627B4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  <w:vMerge/>
          </w:tcPr>
          <w:p w:rsidR="000627B4" w:rsidRDefault="000627B4" w:rsidP="000627B4">
            <w:pPr>
              <w:pStyle w:val="LSUNG"/>
            </w:pPr>
          </w:p>
        </w:tc>
        <w:tc>
          <w:tcPr>
            <w:tcW w:w="6391" w:type="dxa"/>
          </w:tcPr>
          <w:p w:rsidR="000627B4" w:rsidRDefault="000627B4" w:rsidP="00B76532">
            <w:pPr>
              <w:pStyle w:val="LSUNG"/>
            </w:pPr>
            <w:r>
              <w:t>Ist die Nachricht zu groß, wird sie geteilt, die Teile versendet und beim Empfänger wieder zusammengesetzt. Für das korrekte Zusammensetzen werden die Teile nummeriert (1.9).</w:t>
            </w:r>
          </w:p>
          <w:p w:rsidR="00B76532" w:rsidRDefault="00B76532" w:rsidP="00B76532">
            <w:pPr>
              <w:pStyle w:val="LSUNG"/>
            </w:pPr>
          </w:p>
          <w:p w:rsidR="000627B4" w:rsidRDefault="000627B4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3632D6" w:rsidRDefault="003632D6" w:rsidP="000627B4">
            <w:pPr>
              <w:pStyle w:val="LSUNG"/>
            </w:pPr>
            <w:r>
              <w:t>Sender</w:t>
            </w:r>
          </w:p>
          <w:p w:rsidR="003632D6" w:rsidRPr="003632D6" w:rsidRDefault="003632D6" w:rsidP="000627B4">
            <w:pPr>
              <w:pStyle w:val="LSUNG"/>
            </w:pPr>
          </w:p>
        </w:tc>
        <w:tc>
          <w:tcPr>
            <w:tcW w:w="6391" w:type="dxa"/>
          </w:tcPr>
          <w:p w:rsidR="002C3B82" w:rsidRDefault="003632D6" w:rsidP="000627B4">
            <w:pPr>
              <w:pStyle w:val="LSUNG"/>
            </w:pPr>
            <w:r w:rsidRPr="00214EDB">
              <w:t xml:space="preserve">Ohne Sender würde der Empfänger nicht wissen, wer die </w:t>
            </w:r>
            <w:r>
              <w:t>Nachricht gesendet hat (=&gt; z.B. keine Antwort möglich)</w:t>
            </w:r>
            <w:r w:rsidR="000627B4">
              <w:t xml:space="preserve"> (1.5)</w:t>
            </w:r>
            <w:r>
              <w:t>.</w:t>
            </w:r>
          </w:p>
          <w:p w:rsidR="000627B4" w:rsidRDefault="000627B4" w:rsidP="000627B4">
            <w:pPr>
              <w:pStyle w:val="LSUNG"/>
            </w:pPr>
          </w:p>
          <w:p w:rsidR="002C3B82" w:rsidRPr="00214EDB" w:rsidRDefault="002C3B82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DD7C48" w:rsidRPr="003632D6" w:rsidRDefault="00DD7C48" w:rsidP="000627B4">
            <w:pPr>
              <w:pStyle w:val="LSUNG"/>
            </w:pPr>
            <w:r>
              <w:t>Transport</w:t>
            </w:r>
            <w:r w:rsidRPr="00214EDB">
              <w:t>medium</w:t>
            </w:r>
          </w:p>
          <w:p w:rsidR="003632D6" w:rsidRPr="003632D6" w:rsidRDefault="003632D6" w:rsidP="000627B4">
            <w:pPr>
              <w:pStyle w:val="LSUNG"/>
            </w:pPr>
          </w:p>
        </w:tc>
        <w:tc>
          <w:tcPr>
            <w:tcW w:w="6391" w:type="dxa"/>
          </w:tcPr>
          <w:p w:rsidR="000627B4" w:rsidRDefault="003632D6" w:rsidP="000627B4">
            <w:pPr>
              <w:pStyle w:val="LSUNG"/>
            </w:pPr>
            <w:r w:rsidRPr="00214EDB">
              <w:t>Das Übertragungsmedium ist für die Weiterleitung erforderlich</w:t>
            </w:r>
            <w:r w:rsidR="000627B4">
              <w:t xml:space="preserve"> (1.6)</w:t>
            </w:r>
            <w:r w:rsidR="00B76532">
              <w:br/>
            </w:r>
          </w:p>
          <w:p w:rsidR="000627B4" w:rsidRDefault="000627B4" w:rsidP="000627B4">
            <w:pPr>
              <w:pStyle w:val="LSUNG"/>
            </w:pPr>
          </w:p>
          <w:p w:rsidR="002C3B82" w:rsidRPr="00214EDB" w:rsidRDefault="002C3B82" w:rsidP="000627B4">
            <w:pPr>
              <w:pStyle w:val="LSUNG"/>
            </w:pPr>
          </w:p>
        </w:tc>
      </w:tr>
      <w:tr w:rsidR="003632D6" w:rsidTr="00B76532">
        <w:trPr>
          <w:trHeight w:val="283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214EDB" w:rsidRDefault="00DD7C48" w:rsidP="000627B4">
            <w:pPr>
              <w:pStyle w:val="LSUNG"/>
            </w:pPr>
            <w:r>
              <w:t>Netzwerkregeln</w:t>
            </w:r>
          </w:p>
        </w:tc>
        <w:tc>
          <w:tcPr>
            <w:tcW w:w="6391" w:type="dxa"/>
          </w:tcPr>
          <w:p w:rsidR="002C3B82" w:rsidRDefault="003632D6" w:rsidP="000627B4">
            <w:pPr>
              <w:pStyle w:val="LSUNG"/>
            </w:pPr>
            <w:r w:rsidRPr="00214EDB">
              <w:t>Da viele Nachrichten versendet werden, sind Regeln erforderlich, um die einwandfreie</w:t>
            </w:r>
            <w:r w:rsidR="002C3B82">
              <w:t xml:space="preserve"> Weiterleitung zu garantieren</w:t>
            </w:r>
            <w:r w:rsidR="000627B4">
              <w:t xml:space="preserve"> (1.7)</w:t>
            </w:r>
            <w:r w:rsidR="002C3B82">
              <w:t xml:space="preserve">. </w:t>
            </w:r>
          </w:p>
          <w:p w:rsidR="000627B4" w:rsidRDefault="000627B4" w:rsidP="000627B4">
            <w:pPr>
              <w:pStyle w:val="LSUNG"/>
            </w:pPr>
          </w:p>
          <w:p w:rsidR="002C3B82" w:rsidRPr="00214EDB" w:rsidRDefault="002C3B82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214EDB" w:rsidRDefault="003632D6" w:rsidP="000627B4">
            <w:pPr>
              <w:pStyle w:val="LSUNG"/>
              <w:rPr>
                <w:u w:val="single"/>
              </w:rPr>
            </w:pPr>
            <w:r w:rsidRPr="00214EDB">
              <w:t>Weg (Route)</w:t>
            </w:r>
          </w:p>
        </w:tc>
        <w:tc>
          <w:tcPr>
            <w:tcW w:w="6391" w:type="dxa"/>
          </w:tcPr>
          <w:p w:rsidR="003632D6" w:rsidRDefault="003632D6" w:rsidP="000627B4">
            <w:pPr>
              <w:pStyle w:val="LSUNG"/>
            </w:pPr>
            <w:r>
              <w:t xml:space="preserve">Ohne </w:t>
            </w:r>
            <w:r w:rsidR="002C3B82">
              <w:t xml:space="preserve">mindestens </w:t>
            </w:r>
            <w:r>
              <w:t xml:space="preserve">einen durchgängigen Weg </w:t>
            </w:r>
            <w:r w:rsidR="002C3B82">
              <w:t>vom Sender zum Empfänger</w:t>
            </w:r>
            <w:r w:rsidRPr="00214EDB">
              <w:t xml:space="preserve"> würde die Nachricht nicht ankommen</w:t>
            </w:r>
            <w:r w:rsidR="000627B4">
              <w:t xml:space="preserve"> (1.8)</w:t>
            </w:r>
            <w:r w:rsidR="002C3B82">
              <w:t>.</w:t>
            </w:r>
          </w:p>
          <w:p w:rsidR="000627B4" w:rsidRDefault="000627B4" w:rsidP="000627B4">
            <w:pPr>
              <w:pStyle w:val="LSUNG"/>
            </w:pPr>
          </w:p>
          <w:p w:rsidR="002C3B82" w:rsidRPr="00214EDB" w:rsidRDefault="002C3B82" w:rsidP="000627B4">
            <w:pPr>
              <w:pStyle w:val="LSUNG"/>
            </w:pPr>
          </w:p>
        </w:tc>
      </w:tr>
    </w:tbl>
    <w:p w:rsidR="008879DD" w:rsidRPr="00C6178C" w:rsidRDefault="008879DD" w:rsidP="00DD1F25">
      <w:pPr>
        <w:rPr>
          <w:sz w:val="2"/>
          <w:szCs w:val="2"/>
        </w:rPr>
      </w:pPr>
    </w:p>
    <w:sectPr w:rsidR="008879DD" w:rsidRPr="00C61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CC" w:rsidRDefault="00296ECC" w:rsidP="004D1159">
      <w:r>
        <w:separator/>
      </w:r>
    </w:p>
  </w:endnote>
  <w:endnote w:type="continuationSeparator" w:id="0">
    <w:p w:rsidR="00296ECC" w:rsidRDefault="00296EC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5C" w:rsidRDefault="00E63F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05735F" w:rsidP="00C6178C">
    <w:pPr>
      <w:pStyle w:val="Fuzeile"/>
      <w:pBdr>
        <w:top w:val="single" w:sz="4" w:space="1" w:color="auto"/>
      </w:pBdr>
    </w:pPr>
    <w:r w:rsidRPr="0014435A">
      <w:rPr>
        <w:sz w:val="18"/>
        <w:szCs w:val="18"/>
      </w:rPr>
      <w:fldChar w:fldCharType="begin"/>
    </w:r>
    <w:r w:rsidRPr="0014435A">
      <w:rPr>
        <w:sz w:val="18"/>
        <w:szCs w:val="18"/>
      </w:rPr>
      <w:instrText xml:space="preserve"> FILENAME   \* MERGEFORMAT </w:instrText>
    </w:r>
    <w:r w:rsidRPr="0014435A">
      <w:rPr>
        <w:sz w:val="18"/>
        <w:szCs w:val="18"/>
      </w:rPr>
      <w:fldChar w:fldCharType="separate"/>
    </w:r>
    <w:r w:rsidR="00E63F5C">
      <w:rPr>
        <w:noProof/>
        <w:sz w:val="18"/>
        <w:szCs w:val="18"/>
      </w:rPr>
      <w:t>L1 1.1 Lösung Bestandteile.docx</w:t>
    </w:r>
    <w:r w:rsidRPr="0014435A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0E6E6F">
      <w:rPr>
        <w:noProof/>
      </w:rPr>
      <w:t>2</w:t>
    </w:r>
    <w:r w:rsidR="00BF2B0E">
      <w:rPr>
        <w:noProof/>
      </w:rPr>
      <w:fldChar w:fldCharType="end"/>
    </w:r>
    <w:r w:rsidR="004D1159">
      <w:t xml:space="preserve"> </w:t>
    </w:r>
    <w:r w:rsidR="00637E1B">
      <w:t>/</w:t>
    </w:r>
    <w:r w:rsidR="004D1159">
      <w:t xml:space="preserve"> </w:t>
    </w:r>
    <w:r w:rsidR="00296ECC">
      <w:fldChar w:fldCharType="begin"/>
    </w:r>
    <w:r w:rsidR="00296ECC">
      <w:instrText xml:space="preserve"> NUMPAGES   \* MERGEFORMAT </w:instrText>
    </w:r>
    <w:r w:rsidR="00296ECC">
      <w:fldChar w:fldCharType="separate"/>
    </w:r>
    <w:r w:rsidR="000E6E6F">
      <w:rPr>
        <w:noProof/>
      </w:rPr>
      <w:t>2</w:t>
    </w:r>
    <w:r w:rsidR="00296EC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5C" w:rsidRDefault="00E63F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CC" w:rsidRDefault="00296ECC" w:rsidP="004D1159">
      <w:r>
        <w:separator/>
      </w:r>
    </w:p>
  </w:footnote>
  <w:footnote w:type="continuationSeparator" w:id="0">
    <w:p w:rsidR="00296ECC" w:rsidRDefault="00296EC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5C" w:rsidRDefault="00E63F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E1B" w:rsidRDefault="00296ECC" w:rsidP="00637E1B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0E6E6F">
      <w:rPr>
        <w:noProof/>
      </w:rPr>
      <w:t>L1 2.  Netzwerke – Grundbegriffe</w:t>
    </w:r>
    <w:r>
      <w:rPr>
        <w:noProof/>
      </w:rPr>
      <w:fldChar w:fldCharType="end"/>
    </w:r>
    <w:r w:rsidR="00637E1B">
      <w:rPr>
        <w:noProof/>
      </w:rPr>
      <w:tab/>
    </w:r>
    <w:r w:rsidR="00637E1B">
      <w:rPr>
        <w:noProof/>
      </w:rPr>
      <w:tab/>
      <w:t xml:space="preserve">AB </w:t>
    </w:r>
    <w:r w:rsidR="00F37B0C">
      <w:rPr>
        <w:noProof/>
      </w:rPr>
      <w:t>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5C" w:rsidRDefault="00E63F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9E1652"/>
    <w:multiLevelType w:val="hybridMultilevel"/>
    <w:tmpl w:val="188ADF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52527"/>
    <w:multiLevelType w:val="hybridMultilevel"/>
    <w:tmpl w:val="5FFE0A40"/>
    <w:lvl w:ilvl="0" w:tplc="43CC770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B1E2D732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E4D68"/>
    <w:multiLevelType w:val="multilevel"/>
    <w:tmpl w:val="A82E91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4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15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11615"/>
    <w:rsid w:val="000256DB"/>
    <w:rsid w:val="000406DF"/>
    <w:rsid w:val="0005735F"/>
    <w:rsid w:val="000627B4"/>
    <w:rsid w:val="0007404A"/>
    <w:rsid w:val="000A2A25"/>
    <w:rsid w:val="000C0818"/>
    <w:rsid w:val="000E6E6F"/>
    <w:rsid w:val="0014435A"/>
    <w:rsid w:val="00183E46"/>
    <w:rsid w:val="001979C4"/>
    <w:rsid w:val="001E7E96"/>
    <w:rsid w:val="001F1057"/>
    <w:rsid w:val="001F53E7"/>
    <w:rsid w:val="00232034"/>
    <w:rsid w:val="00272455"/>
    <w:rsid w:val="002909D7"/>
    <w:rsid w:val="00293368"/>
    <w:rsid w:val="00296ECC"/>
    <w:rsid w:val="002B7940"/>
    <w:rsid w:val="002C3B82"/>
    <w:rsid w:val="002F6885"/>
    <w:rsid w:val="0030406D"/>
    <w:rsid w:val="0032756E"/>
    <w:rsid w:val="0034112D"/>
    <w:rsid w:val="003632D6"/>
    <w:rsid w:val="003A299F"/>
    <w:rsid w:val="003A42E7"/>
    <w:rsid w:val="003A5506"/>
    <w:rsid w:val="003F64B5"/>
    <w:rsid w:val="00431325"/>
    <w:rsid w:val="00483F44"/>
    <w:rsid w:val="004C2485"/>
    <w:rsid w:val="004D1159"/>
    <w:rsid w:val="004D77BA"/>
    <w:rsid w:val="004F2ED2"/>
    <w:rsid w:val="005303DC"/>
    <w:rsid w:val="00566FBE"/>
    <w:rsid w:val="005A1BE5"/>
    <w:rsid w:val="005B5710"/>
    <w:rsid w:val="005B796F"/>
    <w:rsid w:val="005C192E"/>
    <w:rsid w:val="005D1540"/>
    <w:rsid w:val="005D31D5"/>
    <w:rsid w:val="00600836"/>
    <w:rsid w:val="00633D62"/>
    <w:rsid w:val="00636F5B"/>
    <w:rsid w:val="00637E1B"/>
    <w:rsid w:val="00694738"/>
    <w:rsid w:val="00694E18"/>
    <w:rsid w:val="006C17E2"/>
    <w:rsid w:val="006D3722"/>
    <w:rsid w:val="006E6D84"/>
    <w:rsid w:val="00760F9C"/>
    <w:rsid w:val="00795D23"/>
    <w:rsid w:val="007A1D50"/>
    <w:rsid w:val="007C20E0"/>
    <w:rsid w:val="00802F80"/>
    <w:rsid w:val="00831494"/>
    <w:rsid w:val="008524D3"/>
    <w:rsid w:val="00853748"/>
    <w:rsid w:val="008542BF"/>
    <w:rsid w:val="00871A50"/>
    <w:rsid w:val="008879DD"/>
    <w:rsid w:val="00892678"/>
    <w:rsid w:val="008A628A"/>
    <w:rsid w:val="008E3865"/>
    <w:rsid w:val="008E7C3A"/>
    <w:rsid w:val="009158D6"/>
    <w:rsid w:val="00930234"/>
    <w:rsid w:val="00963A8B"/>
    <w:rsid w:val="009820C3"/>
    <w:rsid w:val="00991103"/>
    <w:rsid w:val="009917FF"/>
    <w:rsid w:val="009968A6"/>
    <w:rsid w:val="00A02530"/>
    <w:rsid w:val="00A138B2"/>
    <w:rsid w:val="00A37D9B"/>
    <w:rsid w:val="00A54D09"/>
    <w:rsid w:val="00A612E2"/>
    <w:rsid w:val="00A7385A"/>
    <w:rsid w:val="00A765AF"/>
    <w:rsid w:val="00A7701D"/>
    <w:rsid w:val="00A932B0"/>
    <w:rsid w:val="00AE0B28"/>
    <w:rsid w:val="00B139F9"/>
    <w:rsid w:val="00B22FC6"/>
    <w:rsid w:val="00B43E3B"/>
    <w:rsid w:val="00B54435"/>
    <w:rsid w:val="00B741EC"/>
    <w:rsid w:val="00B76532"/>
    <w:rsid w:val="00B81751"/>
    <w:rsid w:val="00B90FAD"/>
    <w:rsid w:val="00B96369"/>
    <w:rsid w:val="00BF2B0E"/>
    <w:rsid w:val="00BF4FF6"/>
    <w:rsid w:val="00BF6A84"/>
    <w:rsid w:val="00C00CFA"/>
    <w:rsid w:val="00C018A1"/>
    <w:rsid w:val="00C24D7A"/>
    <w:rsid w:val="00C40B0A"/>
    <w:rsid w:val="00C433AF"/>
    <w:rsid w:val="00C54C63"/>
    <w:rsid w:val="00C6178C"/>
    <w:rsid w:val="00C731A3"/>
    <w:rsid w:val="00C8339F"/>
    <w:rsid w:val="00C92895"/>
    <w:rsid w:val="00CE5450"/>
    <w:rsid w:val="00D8373C"/>
    <w:rsid w:val="00DC6DC1"/>
    <w:rsid w:val="00DD1F25"/>
    <w:rsid w:val="00DD7C48"/>
    <w:rsid w:val="00DE3875"/>
    <w:rsid w:val="00E26308"/>
    <w:rsid w:val="00E3066C"/>
    <w:rsid w:val="00E457CD"/>
    <w:rsid w:val="00E60899"/>
    <w:rsid w:val="00E63F5C"/>
    <w:rsid w:val="00ED0A42"/>
    <w:rsid w:val="00ED1933"/>
    <w:rsid w:val="00EF65E1"/>
    <w:rsid w:val="00F220DA"/>
    <w:rsid w:val="00F30725"/>
    <w:rsid w:val="00F37B0C"/>
    <w:rsid w:val="00F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963FD7-7EA0-4C4A-9DBF-791CBD8B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2E2"/>
    <w:pPr>
      <w:keepNext/>
      <w:keepLines/>
      <w:numPr>
        <w:ilvl w:val="2"/>
        <w:numId w:val="11"/>
      </w:numPr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12E2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14435A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4</cp:revision>
  <cp:lastPrinted>2018-01-17T11:35:00Z</cp:lastPrinted>
  <dcterms:created xsi:type="dcterms:W3CDTF">2018-05-03T14:18:00Z</dcterms:created>
  <dcterms:modified xsi:type="dcterms:W3CDTF">2018-11-23T17:07:00Z</dcterms:modified>
</cp:coreProperties>
</file>